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E215" w14:textId="77777777" w:rsidR="005B557B" w:rsidRDefault="004F59E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眉山</w:t>
      </w:r>
      <w:proofErr w:type="gramStart"/>
      <w:r>
        <w:rPr>
          <w:rFonts w:hint="eastAsia"/>
          <w:sz w:val="44"/>
          <w:szCs w:val="44"/>
        </w:rPr>
        <w:t>市兴眉医药</w:t>
      </w:r>
      <w:proofErr w:type="gramEnd"/>
      <w:r>
        <w:rPr>
          <w:rFonts w:hint="eastAsia"/>
          <w:sz w:val="44"/>
          <w:szCs w:val="44"/>
        </w:rPr>
        <w:t>科技有限公司简介</w:t>
      </w:r>
    </w:p>
    <w:p w14:paraId="201FEEFC" w14:textId="77777777" w:rsidR="005B557B" w:rsidRDefault="005B557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4200B99" w14:textId="77777777" w:rsidR="005B557B" w:rsidRDefault="004F59E6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公司成立于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2004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月，注册资本金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1414.33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万元，前身为眉山科伦医药贸易有限公司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,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为眉山市国投集团全资控股的三级子公司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,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亦是全市唯一的市属国有全资医药批发企业。</w:t>
      </w:r>
    </w:p>
    <w:p w14:paraId="5C699C16" w14:textId="77777777" w:rsidR="005B557B" w:rsidRDefault="004F59E6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本着稳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业务、强管理、促发展的指导方针，公司进一步完善企业法人治理结构，并按照“科学、合理、精简、高效”的原则进行了组织机构搭建，设置综合管理部、财务管理部、市场部、</w:t>
      </w: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风控部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、质量管理部、仓储部等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个部门，现有员工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51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人、其中大专以上学历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33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人，执业药师、主管药师及药学专业人员占公司总人数的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40%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。公司拥有连锁加盟门店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150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余家，仓储面积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8400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平米、办公面积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2400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平米、配送车辆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台，服务医疗机构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1200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余家，销售网络遍布眉山市各区县和乡镇。围绕管理规范化、制度化、精细化目标，公司着力完善制度及风险防控体系建设；积极致力于构建以岗位价值为基础、以绩效贡献为依据的绩效管理，充分发挥员工主观能动性，增强市场竞争实力。</w:t>
      </w:r>
    </w:p>
    <w:p w14:paraId="5A95D7F9" w14:textId="77777777" w:rsidR="005B557B" w:rsidRDefault="004F59E6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公司以国企担当、维系民生为己任，以诚信药企、</w:t>
      </w: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品质药企为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理念，外强市场拓展，内抓管理提升，守正创新，砥砺前行，争取用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3-5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年左右的时间，将公司建设成眉山市医药批发行业领军企业，更好地服务于“民生国投”建设大局。</w:t>
      </w:r>
    </w:p>
    <w:p w14:paraId="230B227B" w14:textId="77777777" w:rsidR="005B557B" w:rsidRDefault="005B557B">
      <w:pPr>
        <w:pStyle w:val="a0"/>
        <w:ind w:left="0"/>
        <w:rPr>
          <w:rFonts w:ascii="Times New Roman" w:hAnsi="Times New Roman"/>
          <w:lang w:eastAsia="zh-CN"/>
        </w:rPr>
      </w:pPr>
    </w:p>
    <w:sectPr w:rsidR="005B557B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9918" w14:textId="77777777" w:rsidR="004F59E6" w:rsidRDefault="004F59E6">
      <w:r>
        <w:separator/>
      </w:r>
    </w:p>
  </w:endnote>
  <w:endnote w:type="continuationSeparator" w:id="0">
    <w:p w14:paraId="6C016E5F" w14:textId="77777777" w:rsidR="004F59E6" w:rsidRDefault="004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913E" w14:textId="77777777" w:rsidR="005B557B" w:rsidRDefault="004F59E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61957" wp14:editId="24A707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7852B" w14:textId="77777777" w:rsidR="005B557B" w:rsidRDefault="004F59E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6195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FC7852B" w14:textId="77777777" w:rsidR="005B557B" w:rsidRDefault="004F59E6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07BB" w14:textId="77777777" w:rsidR="005B557B" w:rsidRDefault="004F59E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685DE" wp14:editId="790A710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03D5E" w14:textId="77777777" w:rsidR="005B557B" w:rsidRDefault="004F59E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685D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20A03D5E" w14:textId="77777777" w:rsidR="005B557B" w:rsidRDefault="004F59E6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3512" w14:textId="77777777" w:rsidR="004F59E6" w:rsidRDefault="004F59E6">
      <w:r>
        <w:separator/>
      </w:r>
    </w:p>
  </w:footnote>
  <w:footnote w:type="continuationSeparator" w:id="0">
    <w:p w14:paraId="2DA506AA" w14:textId="77777777" w:rsidR="004F59E6" w:rsidRDefault="004F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367A90"/>
    <w:rsid w:val="004F59E6"/>
    <w:rsid w:val="005B557B"/>
    <w:rsid w:val="00726C34"/>
    <w:rsid w:val="020A25D7"/>
    <w:rsid w:val="174C1CC8"/>
    <w:rsid w:val="30324FBC"/>
    <w:rsid w:val="56367A90"/>
    <w:rsid w:val="587D3BB8"/>
    <w:rsid w:val="6E3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257F4"/>
  <w15:docId w15:val="{E385D83D-9A35-4C6A-901E-C16B9C5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小标宋简体" w:hAnsi="Times New Roman" w:cs="Times New Roman"/>
      <w:kern w:val="2"/>
      <w:sz w:val="2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43"/>
      <w:jc w:val="left"/>
    </w:pPr>
    <w:rPr>
      <w:rFonts w:ascii="宋体" w:eastAsia="宋体" w:hAnsi="宋体"/>
      <w:kern w:val="0"/>
      <w:szCs w:val="28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米虫</dc:creator>
  <cp:lastModifiedBy>x l</cp:lastModifiedBy>
  <cp:revision>2</cp:revision>
  <dcterms:created xsi:type="dcterms:W3CDTF">2022-08-08T02:54:00Z</dcterms:created>
  <dcterms:modified xsi:type="dcterms:W3CDTF">2022-09-02T02:08:00Z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1B40E308C66F48F1AD27855DE0AE1E43</vt:lpwstr>
  </property>
</Properties>
</file>