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outlineLvl w:val="1"/>
        <w:rPr>
          <w:rFonts w:hint="eastAsia" w:ascii="方正小标宋简体" w:eastAsia="方正小标宋简体" w:cs="宋体"/>
          <w:bCs/>
          <w:sz w:val="44"/>
          <w:szCs w:val="44"/>
        </w:rPr>
      </w:pPr>
      <w:r>
        <w:rPr>
          <w:rFonts w:hint="eastAsia" w:ascii="方正小标宋简体" w:hAnsi="宋体" w:eastAsia="方正小标宋简体" w:cs="宋体"/>
          <w:bCs/>
          <w:sz w:val="44"/>
          <w:szCs w:val="44"/>
        </w:rPr>
        <w:t>眉山市农投供应链管理有限公司简介</w:t>
      </w:r>
    </w:p>
    <w:p>
      <w:pPr>
        <w:widowControl/>
        <w:spacing w:line="560" w:lineRule="exact"/>
        <w:ind w:firstLine="640" w:firstLineChars="200"/>
        <w:jc w:val="left"/>
        <w:outlineLvl w:val="1"/>
        <w:rPr>
          <w:rFonts w:hint="default" w:ascii="华文仿宋" w:hAnsi="华文仿宋" w:eastAsia="华文仿宋" w:cs="仿宋"/>
          <w:bCs/>
          <w:sz w:val="32"/>
          <w:szCs w:val="32"/>
          <w:highlight w:val="none"/>
          <w:lang w:val="en-US" w:eastAsia="zh-CN"/>
        </w:rPr>
      </w:pPr>
      <w:r>
        <w:rPr>
          <w:rFonts w:hint="eastAsia" w:ascii="华文仿宋" w:hAnsi="华文仿宋" w:eastAsia="华文仿宋" w:cs="仿宋"/>
          <w:bCs/>
          <w:sz w:val="32"/>
          <w:szCs w:val="32"/>
          <w:highlight w:val="none"/>
        </w:rPr>
        <w:t>眉山市农投供应链管理有限公司</w:t>
      </w:r>
      <w:r>
        <w:rPr>
          <w:rFonts w:hint="eastAsia" w:ascii="华文仿宋" w:hAnsi="华文仿宋" w:eastAsia="华文仿宋" w:cs="仿宋"/>
          <w:bCs/>
          <w:sz w:val="32"/>
          <w:szCs w:val="32"/>
          <w:highlight w:val="none"/>
          <w:lang w:eastAsia="zh-CN"/>
        </w:rPr>
        <w:t>（简称“市农投供应链公司”）</w:t>
      </w:r>
      <w:r>
        <w:rPr>
          <w:rFonts w:hint="eastAsia" w:ascii="华文仿宋" w:hAnsi="华文仿宋" w:eastAsia="华文仿宋" w:cs="仿宋"/>
          <w:bCs/>
          <w:sz w:val="32"/>
          <w:szCs w:val="32"/>
          <w:highlight w:val="none"/>
        </w:rPr>
        <w:t>成立于</w:t>
      </w:r>
      <w:r>
        <w:rPr>
          <w:rFonts w:ascii="华文仿宋" w:hAnsi="华文仿宋" w:eastAsia="华文仿宋" w:cs="仿宋"/>
          <w:bCs/>
          <w:sz w:val="32"/>
          <w:szCs w:val="32"/>
          <w:highlight w:val="none"/>
        </w:rPr>
        <w:t>2015</w:t>
      </w:r>
      <w:r>
        <w:rPr>
          <w:rFonts w:hint="eastAsia" w:ascii="华文仿宋" w:hAnsi="华文仿宋" w:eastAsia="华文仿宋" w:cs="仿宋"/>
          <w:bCs/>
          <w:sz w:val="32"/>
          <w:szCs w:val="32"/>
          <w:highlight w:val="none"/>
        </w:rPr>
        <w:t>年</w:t>
      </w:r>
      <w:r>
        <w:rPr>
          <w:rFonts w:ascii="华文仿宋" w:hAnsi="华文仿宋" w:eastAsia="华文仿宋" w:cs="仿宋"/>
          <w:bCs/>
          <w:sz w:val="32"/>
          <w:szCs w:val="32"/>
          <w:highlight w:val="none"/>
        </w:rPr>
        <w:t>3</w:t>
      </w:r>
      <w:r>
        <w:rPr>
          <w:rFonts w:hint="eastAsia" w:ascii="华文仿宋" w:hAnsi="华文仿宋" w:eastAsia="华文仿宋" w:cs="仿宋"/>
          <w:bCs/>
          <w:sz w:val="32"/>
          <w:szCs w:val="32"/>
          <w:highlight w:val="none"/>
        </w:rPr>
        <w:t>月，注册资金</w:t>
      </w:r>
      <w:r>
        <w:rPr>
          <w:rFonts w:ascii="华文仿宋" w:hAnsi="华文仿宋" w:eastAsia="华文仿宋" w:cs="仿宋"/>
          <w:bCs/>
          <w:sz w:val="32"/>
          <w:szCs w:val="32"/>
          <w:highlight w:val="none"/>
        </w:rPr>
        <w:t>5000</w:t>
      </w:r>
      <w:r>
        <w:rPr>
          <w:rFonts w:hint="eastAsia" w:ascii="华文仿宋" w:hAnsi="华文仿宋" w:eastAsia="华文仿宋" w:cs="仿宋"/>
          <w:bCs/>
          <w:sz w:val="32"/>
          <w:szCs w:val="32"/>
          <w:highlight w:val="none"/>
        </w:rPr>
        <w:t>万元。</w:t>
      </w:r>
      <w:r>
        <w:rPr>
          <w:rFonts w:ascii="华文仿宋" w:hAnsi="华文仿宋" w:eastAsia="华文仿宋" w:cs="仿宋"/>
          <w:bCs/>
          <w:sz w:val="32"/>
          <w:szCs w:val="32"/>
          <w:highlight w:val="none"/>
        </w:rPr>
        <w:t>2021</w:t>
      </w:r>
      <w:r>
        <w:rPr>
          <w:rFonts w:hint="eastAsia" w:ascii="华文仿宋" w:hAnsi="华文仿宋" w:eastAsia="华文仿宋" w:cs="仿宋"/>
          <w:bCs/>
          <w:sz w:val="32"/>
          <w:szCs w:val="32"/>
          <w:highlight w:val="none"/>
        </w:rPr>
        <w:t>年</w:t>
      </w:r>
      <w:r>
        <w:rPr>
          <w:rFonts w:ascii="华文仿宋" w:hAnsi="华文仿宋" w:eastAsia="华文仿宋" w:cs="仿宋"/>
          <w:bCs/>
          <w:sz w:val="32"/>
          <w:szCs w:val="32"/>
          <w:highlight w:val="none"/>
        </w:rPr>
        <w:t>7</w:t>
      </w:r>
      <w:r>
        <w:rPr>
          <w:rFonts w:hint="eastAsia" w:ascii="华文仿宋" w:hAnsi="华文仿宋" w:eastAsia="华文仿宋" w:cs="仿宋"/>
          <w:bCs/>
          <w:sz w:val="32"/>
          <w:szCs w:val="32"/>
          <w:highlight w:val="none"/>
        </w:rPr>
        <w:t>月实施混改后成为国有控股公司，是眉山市第八批、第九批农业产业化重点龙头企业</w:t>
      </w:r>
      <w:r>
        <w:rPr>
          <w:rFonts w:hint="eastAsia" w:ascii="华文仿宋" w:hAnsi="华文仿宋" w:eastAsia="华文仿宋" w:cs="仿宋"/>
          <w:bCs/>
          <w:sz w:val="32"/>
          <w:szCs w:val="32"/>
          <w:highlight w:val="none"/>
          <w:lang w:eastAsia="zh-CN"/>
        </w:rPr>
        <w:t>。</w:t>
      </w:r>
      <w:r>
        <w:rPr>
          <w:rFonts w:hint="eastAsia" w:ascii="华文仿宋" w:hAnsi="华文仿宋" w:eastAsia="华文仿宋" w:cs="仿宋"/>
          <w:bCs/>
          <w:sz w:val="32"/>
          <w:szCs w:val="32"/>
          <w:highlight w:val="none"/>
        </w:rPr>
        <w:t>公司主营蔬菜、水果、干杂、粮油、家禽、肉类等农副产品的一体化配送，并提供专业化的团队餐饮服务</w:t>
      </w:r>
      <w:r>
        <w:rPr>
          <w:rFonts w:hint="eastAsia" w:ascii="华文仿宋" w:hAnsi="华文仿宋" w:eastAsia="华文仿宋" w:cs="仿宋"/>
          <w:bCs/>
          <w:sz w:val="32"/>
          <w:szCs w:val="32"/>
          <w:highlight w:val="none"/>
          <w:lang w:eastAsia="zh-CN"/>
        </w:rPr>
        <w:t>，现有员工</w:t>
      </w:r>
      <w:r>
        <w:rPr>
          <w:rFonts w:hint="eastAsia" w:ascii="华文仿宋" w:hAnsi="华文仿宋" w:eastAsia="华文仿宋" w:cs="仿宋"/>
          <w:bCs/>
          <w:sz w:val="32"/>
          <w:szCs w:val="32"/>
          <w:highlight w:val="none"/>
          <w:lang w:val="en-US" w:eastAsia="zh-CN"/>
        </w:rPr>
        <w:t>100余人。</w:t>
      </w:r>
    </w:p>
    <w:p>
      <w:pPr>
        <w:widowControl/>
        <w:spacing w:line="560" w:lineRule="exact"/>
        <w:ind w:firstLine="640" w:firstLineChars="200"/>
        <w:jc w:val="left"/>
        <w:outlineLvl w:val="1"/>
        <w:rPr>
          <w:rFonts w:hint="eastAsia" w:ascii="华文仿宋" w:hAnsi="华文仿宋" w:eastAsia="华文仿宋" w:cs="仿宋"/>
          <w:bCs/>
          <w:sz w:val="32"/>
          <w:szCs w:val="32"/>
          <w:highlight w:val="none"/>
          <w:lang w:eastAsia="zh-CN"/>
        </w:rPr>
      </w:pPr>
      <w:r>
        <w:rPr>
          <w:rFonts w:hint="eastAsia" w:ascii="华文仿宋" w:hAnsi="华文仿宋" w:eastAsia="华文仿宋" w:cs="仿宋"/>
          <w:bCs/>
          <w:sz w:val="32"/>
          <w:szCs w:val="32"/>
          <w:highlight w:val="none"/>
          <w:lang w:eastAsia="zh-CN"/>
        </w:rPr>
        <w:t>目前，公司</w:t>
      </w:r>
      <w:r>
        <w:rPr>
          <w:rFonts w:hint="eastAsia" w:ascii="华文仿宋" w:hAnsi="华文仿宋" w:eastAsia="华文仿宋"/>
          <w:sz w:val="32"/>
          <w:szCs w:val="32"/>
          <w:highlight w:val="none"/>
        </w:rPr>
        <w:t>拥有标准化的自营蔬菜种植农场约3</w:t>
      </w:r>
      <w:r>
        <w:rPr>
          <w:rFonts w:ascii="华文仿宋" w:hAnsi="华文仿宋" w:eastAsia="华文仿宋"/>
          <w:sz w:val="32"/>
          <w:szCs w:val="32"/>
          <w:highlight w:val="none"/>
        </w:rPr>
        <w:t>00</w:t>
      </w:r>
      <w:r>
        <w:rPr>
          <w:rFonts w:hint="eastAsia" w:ascii="华文仿宋" w:hAnsi="华文仿宋" w:eastAsia="华文仿宋"/>
          <w:sz w:val="32"/>
          <w:szCs w:val="32"/>
          <w:highlight w:val="none"/>
        </w:rPr>
        <w:t>亩，合作供应基地面积</w:t>
      </w:r>
      <w:r>
        <w:rPr>
          <w:rFonts w:ascii="华文仿宋" w:hAnsi="华文仿宋" w:eastAsia="华文仿宋"/>
          <w:sz w:val="32"/>
          <w:szCs w:val="32"/>
          <w:highlight w:val="none"/>
        </w:rPr>
        <w:t>2000</w:t>
      </w:r>
      <w:r>
        <w:rPr>
          <w:rFonts w:hint="eastAsia" w:ascii="华文仿宋" w:hAnsi="华文仿宋" w:eastAsia="华文仿宋"/>
          <w:sz w:val="32"/>
          <w:szCs w:val="32"/>
          <w:highlight w:val="none"/>
        </w:rPr>
        <w:t>余亩，合作</w:t>
      </w:r>
      <w:r>
        <w:rPr>
          <w:rFonts w:ascii="华文仿宋" w:hAnsi="华文仿宋" w:eastAsia="华文仿宋"/>
          <w:sz w:val="32"/>
          <w:szCs w:val="32"/>
          <w:highlight w:val="none"/>
        </w:rPr>
        <w:t>供应商</w:t>
      </w:r>
      <w:r>
        <w:rPr>
          <w:rFonts w:hint="eastAsia" w:ascii="华文仿宋" w:hAnsi="华文仿宋" w:eastAsia="华文仿宋"/>
          <w:sz w:val="32"/>
          <w:szCs w:val="32"/>
          <w:highlight w:val="none"/>
        </w:rPr>
        <w:t>1</w:t>
      </w:r>
      <w:r>
        <w:rPr>
          <w:rFonts w:ascii="华文仿宋" w:hAnsi="华文仿宋" w:eastAsia="华文仿宋"/>
          <w:sz w:val="32"/>
          <w:szCs w:val="32"/>
          <w:highlight w:val="none"/>
        </w:rPr>
        <w:t>00</w:t>
      </w:r>
      <w:r>
        <w:rPr>
          <w:rFonts w:hint="eastAsia" w:ascii="华文仿宋" w:hAnsi="华文仿宋" w:eastAsia="华文仿宋"/>
          <w:sz w:val="32"/>
          <w:szCs w:val="32"/>
          <w:highlight w:val="none"/>
        </w:rPr>
        <w:t>余户</w:t>
      </w:r>
      <w:r>
        <w:rPr>
          <w:rFonts w:hint="eastAsia" w:ascii="华文仿宋" w:hAnsi="华文仿宋" w:eastAsia="华文仿宋"/>
          <w:sz w:val="32"/>
          <w:szCs w:val="32"/>
          <w:highlight w:val="none"/>
          <w:lang w:eastAsia="zh-CN"/>
        </w:rPr>
        <w:t>，</w:t>
      </w:r>
      <w:r>
        <w:rPr>
          <w:rFonts w:hint="eastAsia" w:ascii="华文仿宋" w:hAnsi="华文仿宋" w:eastAsia="华文仿宋"/>
          <w:sz w:val="32"/>
          <w:szCs w:val="32"/>
          <w:highlight w:val="none"/>
        </w:rPr>
        <w:t>已</w:t>
      </w:r>
      <w:r>
        <w:rPr>
          <w:rFonts w:ascii="华文仿宋" w:hAnsi="华文仿宋" w:eastAsia="华文仿宋"/>
          <w:sz w:val="32"/>
          <w:szCs w:val="32"/>
          <w:highlight w:val="none"/>
        </w:rPr>
        <w:t>成为</w:t>
      </w:r>
      <w:r>
        <w:rPr>
          <w:rFonts w:hint="eastAsia" w:ascii="华文仿宋" w:hAnsi="华文仿宋" w:eastAsia="华文仿宋"/>
          <w:sz w:val="32"/>
          <w:szCs w:val="32"/>
          <w:highlight w:val="none"/>
        </w:rPr>
        <w:t>全市</w:t>
      </w:r>
      <w:r>
        <w:rPr>
          <w:rFonts w:ascii="华文仿宋" w:hAnsi="华文仿宋" w:eastAsia="华文仿宋"/>
          <w:sz w:val="32"/>
          <w:szCs w:val="32"/>
          <w:highlight w:val="none"/>
        </w:rPr>
        <w:t>党政机关、军队系统、</w:t>
      </w:r>
      <w:r>
        <w:rPr>
          <w:rFonts w:hint="eastAsia" w:ascii="华文仿宋" w:hAnsi="华文仿宋" w:eastAsia="华文仿宋"/>
          <w:sz w:val="32"/>
          <w:szCs w:val="32"/>
          <w:highlight w:val="none"/>
          <w:lang w:eastAsia="zh-CN"/>
        </w:rPr>
        <w:t>警察系统、</w:t>
      </w:r>
      <w:r>
        <w:rPr>
          <w:rFonts w:ascii="华文仿宋" w:hAnsi="华文仿宋" w:eastAsia="华文仿宋"/>
          <w:sz w:val="32"/>
          <w:szCs w:val="32"/>
          <w:highlight w:val="none"/>
        </w:rPr>
        <w:t>教育系统、金融系统、大中型企业的后勤管家。</w:t>
      </w:r>
    </w:p>
    <w:p>
      <w:pPr>
        <w:widowControl/>
        <w:spacing w:line="560" w:lineRule="exact"/>
        <w:ind w:firstLine="640" w:firstLineChars="200"/>
        <w:jc w:val="left"/>
        <w:outlineLvl w:val="1"/>
        <w:rPr>
          <w:rFonts w:hint="eastAsia" w:ascii="华文仿宋" w:hAnsi="华文仿宋" w:eastAsia="华文仿宋"/>
          <w:sz w:val="32"/>
          <w:szCs w:val="32"/>
          <w:highlight w:val="none"/>
        </w:rPr>
      </w:pPr>
      <w:r>
        <w:rPr>
          <w:rFonts w:hint="eastAsia" w:ascii="华文仿宋" w:hAnsi="华文仿宋" w:eastAsia="华文仿宋" w:cs="仿宋"/>
          <w:bCs/>
          <w:sz w:val="32"/>
          <w:szCs w:val="32"/>
          <w:highlight w:val="none"/>
        </w:rPr>
        <w:t>公司秉承“诚信为本</w:t>
      </w:r>
      <w:r>
        <w:rPr>
          <w:rFonts w:hint="eastAsia" w:ascii="华文仿宋" w:hAnsi="华文仿宋" w:eastAsia="华文仿宋" w:cs="仿宋"/>
          <w:bCs/>
          <w:sz w:val="32"/>
          <w:szCs w:val="32"/>
          <w:highlight w:val="none"/>
          <w:lang w:eastAsia="zh-CN"/>
        </w:rPr>
        <w:t>、</w:t>
      </w:r>
      <w:r>
        <w:rPr>
          <w:rFonts w:hint="eastAsia" w:ascii="华文仿宋" w:hAnsi="华文仿宋" w:eastAsia="华文仿宋" w:cs="仿宋"/>
          <w:bCs/>
          <w:sz w:val="32"/>
          <w:szCs w:val="32"/>
          <w:highlight w:val="none"/>
        </w:rPr>
        <w:t>服务至上</w:t>
      </w:r>
      <w:r>
        <w:rPr>
          <w:rFonts w:hint="eastAsia" w:ascii="华文仿宋" w:hAnsi="华文仿宋" w:eastAsia="华文仿宋" w:cs="仿宋"/>
          <w:bCs/>
          <w:sz w:val="32"/>
          <w:szCs w:val="32"/>
          <w:highlight w:val="none"/>
          <w:lang w:eastAsia="zh-CN"/>
        </w:rPr>
        <w:t>、</w:t>
      </w:r>
      <w:r>
        <w:rPr>
          <w:rFonts w:hint="eastAsia" w:ascii="华文仿宋" w:hAnsi="华文仿宋" w:eastAsia="华文仿宋" w:cs="仿宋"/>
          <w:bCs/>
          <w:sz w:val="32"/>
          <w:szCs w:val="32"/>
          <w:highlight w:val="none"/>
        </w:rPr>
        <w:t>安全高效</w:t>
      </w:r>
      <w:r>
        <w:rPr>
          <w:rFonts w:hint="eastAsia" w:ascii="华文仿宋" w:hAnsi="华文仿宋" w:eastAsia="华文仿宋" w:cs="仿宋"/>
          <w:bCs/>
          <w:sz w:val="32"/>
          <w:szCs w:val="32"/>
          <w:highlight w:val="none"/>
          <w:lang w:eastAsia="zh-CN"/>
        </w:rPr>
        <w:t>、</w:t>
      </w:r>
      <w:r>
        <w:rPr>
          <w:rFonts w:hint="eastAsia" w:ascii="华文仿宋" w:hAnsi="华文仿宋" w:eastAsia="华文仿宋" w:cs="仿宋"/>
          <w:bCs/>
          <w:sz w:val="32"/>
          <w:szCs w:val="32"/>
          <w:highlight w:val="none"/>
        </w:rPr>
        <w:t>合作共赢”的经营理念，</w:t>
      </w:r>
      <w:r>
        <w:rPr>
          <w:rFonts w:hint="eastAsia" w:ascii="华文仿宋" w:hAnsi="华文仿宋" w:eastAsia="华文仿宋"/>
          <w:sz w:val="32"/>
          <w:szCs w:val="32"/>
          <w:highlight w:val="none"/>
        </w:rPr>
        <w:t>积极参与眉山市</w:t>
      </w:r>
      <w:r>
        <w:rPr>
          <w:rFonts w:ascii="华文仿宋" w:hAnsi="华文仿宋" w:eastAsia="华文仿宋"/>
          <w:snapToGrid w:val="0"/>
          <w:kern w:val="0"/>
          <w:sz w:val="32"/>
          <w:szCs w:val="32"/>
          <w:highlight w:val="none"/>
        </w:rPr>
        <w:t xml:space="preserve"> “2+3+N”</w:t>
      </w:r>
      <w:r>
        <w:rPr>
          <w:rFonts w:hint="eastAsia" w:ascii="华文仿宋" w:hAnsi="华文仿宋" w:eastAsia="华文仿宋"/>
          <w:snapToGrid w:val="0"/>
          <w:kern w:val="0"/>
          <w:sz w:val="32"/>
          <w:szCs w:val="32"/>
          <w:highlight w:val="none"/>
          <w:lang w:eastAsia="zh-CN"/>
        </w:rPr>
        <w:t>现代</w:t>
      </w:r>
      <w:r>
        <w:rPr>
          <w:rFonts w:hint="eastAsia" w:ascii="华文仿宋" w:hAnsi="华文仿宋" w:eastAsia="华文仿宋"/>
          <w:snapToGrid w:val="0"/>
          <w:kern w:val="0"/>
          <w:sz w:val="32"/>
          <w:szCs w:val="32"/>
          <w:highlight w:val="none"/>
        </w:rPr>
        <w:t>农业产业体系建设</w:t>
      </w:r>
      <w:r>
        <w:rPr>
          <w:rFonts w:hint="eastAsia" w:ascii="华文仿宋" w:hAnsi="华文仿宋" w:eastAsia="华文仿宋"/>
          <w:sz w:val="32"/>
          <w:szCs w:val="32"/>
          <w:highlight w:val="none"/>
        </w:rPr>
        <w:t>，围绕眉山国投集团</w:t>
      </w:r>
      <w:r>
        <w:rPr>
          <w:rFonts w:ascii="华文仿宋" w:hAnsi="华文仿宋" w:eastAsia="华文仿宋"/>
          <w:sz w:val="32"/>
          <w:szCs w:val="32"/>
          <w:highlight w:val="none"/>
        </w:rPr>
        <w:t>高质量城市综合运营服务商的</w:t>
      </w:r>
      <w:r>
        <w:rPr>
          <w:rFonts w:hint="eastAsia" w:ascii="华文仿宋" w:hAnsi="华文仿宋" w:eastAsia="华文仿宋"/>
          <w:sz w:val="32"/>
          <w:szCs w:val="32"/>
          <w:highlight w:val="none"/>
        </w:rPr>
        <w:t>发展愿景</w:t>
      </w:r>
      <w:r>
        <w:rPr>
          <w:rFonts w:ascii="华文仿宋" w:hAnsi="华文仿宋" w:eastAsia="华文仿宋"/>
          <w:sz w:val="32"/>
          <w:szCs w:val="32"/>
          <w:highlight w:val="none"/>
        </w:rPr>
        <w:t>，</w:t>
      </w:r>
      <w:r>
        <w:rPr>
          <w:rFonts w:hint="eastAsia" w:ascii="华文仿宋" w:hAnsi="华文仿宋" w:eastAsia="华文仿宋"/>
          <w:sz w:val="32"/>
          <w:szCs w:val="32"/>
          <w:highlight w:val="none"/>
        </w:rPr>
        <w:t>建设集农产品种植、加工、配送和餐饮服务为一体的现代化供应链管理公司，打造成全</w:t>
      </w:r>
      <w:r>
        <w:rPr>
          <w:rFonts w:hint="eastAsia" w:ascii="华文仿宋" w:hAnsi="华文仿宋" w:eastAsia="华文仿宋" w:cs="仿宋_GB2312"/>
          <w:sz w:val="32"/>
          <w:szCs w:val="32"/>
          <w:highlight w:val="none"/>
        </w:rPr>
        <w:t>市食材配送和餐饮管理行业的标杆领军企业，为</w:t>
      </w:r>
      <w:r>
        <w:rPr>
          <w:rFonts w:hint="eastAsia" w:ascii="华文仿宋" w:hAnsi="华文仿宋" w:eastAsia="华文仿宋"/>
          <w:sz w:val="32"/>
          <w:szCs w:val="32"/>
          <w:highlight w:val="none"/>
        </w:rPr>
        <w:t>眉山都市现代绿色农业强市和全国乡村振兴示范市建设贡献国企力量。</w:t>
      </w:r>
    </w:p>
    <w:p>
      <w:pPr>
        <w:pStyle w:val="2"/>
        <w:rPr>
          <w:rFonts w:hint="eastAsia" w:ascii="华文仿宋" w:hAnsi="华文仿宋" w:eastAsia="华文仿宋"/>
          <w:sz w:val="32"/>
          <w:szCs w:val="32"/>
          <w:highlight w:val="none"/>
        </w:rPr>
      </w:pPr>
    </w:p>
    <w:p>
      <w:pPr>
        <w:pStyle w:val="3"/>
        <w:rPr>
          <w:rFonts w:hint="eastAsia" w:ascii="华文仿宋" w:hAnsi="华文仿宋" w:eastAsia="华文仿宋"/>
          <w:sz w:val="32"/>
          <w:szCs w:val="32"/>
          <w:highlight w:val="none"/>
        </w:rPr>
      </w:pPr>
    </w:p>
    <w:p>
      <w:pPr>
        <w:pStyle w:val="3"/>
        <w:rPr>
          <w:rFonts w:hint="eastAsia" w:ascii="华文仿宋" w:hAnsi="华文仿宋" w:eastAsia="华文仿宋"/>
          <w:sz w:val="32"/>
          <w:szCs w:val="32"/>
          <w:highlight w:val="none"/>
        </w:rPr>
      </w:pPr>
    </w:p>
    <w:p>
      <w:pPr>
        <w:pStyle w:val="3"/>
        <w:rPr>
          <w:rFonts w:hint="eastAsia" w:ascii="华文仿宋" w:hAnsi="华文仿宋" w:eastAsia="华文仿宋"/>
          <w:sz w:val="32"/>
          <w:szCs w:val="32"/>
          <w:highlight w:val="none"/>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Y2MTliMTViYzg1YmM4MTA2NzM5MDAwYzY2ZGQ2MDAifQ=="/>
  </w:docVars>
  <w:rsids>
    <w:rsidRoot w:val="0CD13B02"/>
    <w:rsid w:val="00124267"/>
    <w:rsid w:val="002C0C96"/>
    <w:rsid w:val="004123D1"/>
    <w:rsid w:val="004C6CE7"/>
    <w:rsid w:val="005B0FCB"/>
    <w:rsid w:val="00715787"/>
    <w:rsid w:val="007E7230"/>
    <w:rsid w:val="009D0175"/>
    <w:rsid w:val="00A00810"/>
    <w:rsid w:val="00A4776D"/>
    <w:rsid w:val="00AC69ED"/>
    <w:rsid w:val="00BB0255"/>
    <w:rsid w:val="00BE1E01"/>
    <w:rsid w:val="00C10342"/>
    <w:rsid w:val="00CD0D47"/>
    <w:rsid w:val="00D72738"/>
    <w:rsid w:val="00DF560D"/>
    <w:rsid w:val="00E22175"/>
    <w:rsid w:val="00F0696A"/>
    <w:rsid w:val="00F74534"/>
    <w:rsid w:val="00F83C1A"/>
    <w:rsid w:val="00FE2191"/>
    <w:rsid w:val="02167067"/>
    <w:rsid w:val="03D1158F"/>
    <w:rsid w:val="0CD13B02"/>
    <w:rsid w:val="10B169D0"/>
    <w:rsid w:val="10E755A7"/>
    <w:rsid w:val="14BA4D67"/>
    <w:rsid w:val="150E7BF4"/>
    <w:rsid w:val="19976CDA"/>
    <w:rsid w:val="19FC69DE"/>
    <w:rsid w:val="1EEC32CA"/>
    <w:rsid w:val="1F4F7C3B"/>
    <w:rsid w:val="2347067D"/>
    <w:rsid w:val="29AF1876"/>
    <w:rsid w:val="2E960B64"/>
    <w:rsid w:val="31210520"/>
    <w:rsid w:val="34BA37F6"/>
    <w:rsid w:val="37501E3C"/>
    <w:rsid w:val="38543CDA"/>
    <w:rsid w:val="442962A2"/>
    <w:rsid w:val="47BC742D"/>
    <w:rsid w:val="56702554"/>
    <w:rsid w:val="5D096819"/>
    <w:rsid w:val="5ED27262"/>
    <w:rsid w:val="652F6E54"/>
    <w:rsid w:val="65C26AE9"/>
    <w:rsid w:val="6985758E"/>
    <w:rsid w:val="6B2F1B41"/>
    <w:rsid w:val="799375F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标题 5（有编号）（绿盟科技）"/>
    <w:basedOn w:val="1"/>
    <w:next w:val="3"/>
    <w:qFormat/>
    <w:uiPriority w:val="99"/>
    <w:pPr>
      <w:keepNext/>
      <w:keepLines/>
      <w:spacing w:before="280" w:after="156" w:line="377" w:lineRule="auto"/>
      <w:jc w:val="left"/>
      <w:outlineLvl w:val="4"/>
    </w:pPr>
    <w:rPr>
      <w:rFonts w:ascii="Arial" w:hAnsi="Arial" w:eastAsia="黑体"/>
      <w:kern w:val="0"/>
      <w:sz w:val="24"/>
      <w:szCs w:val="28"/>
    </w:rPr>
  </w:style>
  <w:style w:type="paragraph" w:customStyle="1" w:styleId="3">
    <w:name w:val="正文（绿盟科技）"/>
    <w:qFormat/>
    <w:uiPriority w:val="99"/>
    <w:pPr>
      <w:spacing w:line="300" w:lineRule="auto"/>
    </w:pPr>
    <w:rPr>
      <w:rFonts w:ascii="Arial" w:hAnsi="Arial" w:eastAsia="宋体" w:cs="黑体"/>
      <w:sz w:val="21"/>
      <w:szCs w:val="21"/>
      <w:lang w:val="en-US" w:eastAsia="zh-CN" w:bidi="ar-SA"/>
    </w:rPr>
  </w:style>
  <w:style w:type="paragraph" w:styleId="4">
    <w:name w:val="Body Text"/>
    <w:basedOn w:val="1"/>
    <w:next w:val="1"/>
    <w:link w:val="13"/>
    <w:unhideWhenUsed/>
    <w:qFormat/>
    <w:uiPriority w:val="99"/>
    <w:pPr>
      <w:spacing w:after="120"/>
    </w:pPr>
    <w:rPr>
      <w:szCs w:val="24"/>
    </w:rPr>
  </w:style>
  <w:style w:type="paragraph" w:styleId="5">
    <w:name w:val="footer"/>
    <w:basedOn w:val="1"/>
    <w:link w:val="12"/>
    <w:qFormat/>
    <w:uiPriority w:val="99"/>
    <w:pPr>
      <w:tabs>
        <w:tab w:val="center" w:pos="4153"/>
        <w:tab w:val="right" w:pos="8306"/>
      </w:tabs>
      <w:snapToGrid w:val="0"/>
      <w:jc w:val="left"/>
    </w:pPr>
    <w:rPr>
      <w:sz w:val="18"/>
    </w:rPr>
  </w:style>
  <w:style w:type="paragraph" w:styleId="6">
    <w:name w:val="Normal (Web)"/>
    <w:basedOn w:val="1"/>
    <w:qFormat/>
    <w:uiPriority w:val="99"/>
    <w:pPr>
      <w:spacing w:beforeAutospacing="1" w:afterAutospacing="1"/>
      <w:jc w:val="left"/>
    </w:pPr>
    <w:rPr>
      <w:kern w:val="0"/>
      <w:sz w:val="24"/>
    </w:rPr>
  </w:style>
  <w:style w:type="character" w:styleId="9">
    <w:name w:val="Strong"/>
    <w:basedOn w:val="8"/>
    <w:qFormat/>
    <w:uiPriority w:val="99"/>
    <w:rPr>
      <w:rFonts w:cs="Times New Roman"/>
      <w:b/>
    </w:rPr>
  </w:style>
  <w:style w:type="character" w:styleId="10">
    <w:name w:val="FollowedHyperlink"/>
    <w:basedOn w:val="8"/>
    <w:qFormat/>
    <w:uiPriority w:val="99"/>
    <w:rPr>
      <w:rFonts w:cs="Times New Roman"/>
      <w:color w:val="000000"/>
      <w:u w:val="none"/>
    </w:rPr>
  </w:style>
  <w:style w:type="character" w:styleId="11">
    <w:name w:val="Hyperlink"/>
    <w:basedOn w:val="8"/>
    <w:qFormat/>
    <w:uiPriority w:val="99"/>
    <w:rPr>
      <w:rFonts w:cs="Times New Roman"/>
      <w:color w:val="000000"/>
      <w:u w:val="none"/>
    </w:rPr>
  </w:style>
  <w:style w:type="character" w:customStyle="1" w:styleId="12">
    <w:name w:val="页脚 字符"/>
    <w:basedOn w:val="8"/>
    <w:link w:val="5"/>
    <w:semiHidden/>
    <w:qFormat/>
    <w:uiPriority w:val="99"/>
    <w:rPr>
      <w:rFonts w:ascii="Calibri" w:hAnsi="Calibri"/>
      <w:sz w:val="18"/>
      <w:szCs w:val="18"/>
    </w:rPr>
  </w:style>
  <w:style w:type="character" w:customStyle="1" w:styleId="13">
    <w:name w:val="正文文本 字符"/>
    <w:basedOn w:val="8"/>
    <w:link w:val="4"/>
    <w:qFormat/>
    <w:uiPriority w:val="99"/>
    <w:rPr>
      <w:rFonts w:ascii="Calibri" w:hAnsi="Calibri"/>
      <w:kern w:val="2"/>
      <w:sz w:val="21"/>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BHY</Company>
  <Pages>2</Pages>
  <Words>638</Words>
  <Characters>678</Characters>
  <Lines>4</Lines>
  <Paragraphs>1</Paragraphs>
  <TotalTime>6</TotalTime>
  <ScaleCrop>false</ScaleCrop>
  <LinksUpToDate>false</LinksUpToDate>
  <CharactersWithSpaces>679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2022-03-07T14:18:00Z</dcterms:created>
  <dc:creator>〰</dc:creator>
  <cp:lastModifiedBy>yang</cp:lastModifiedBy>
  <dcterms:modified xsi:type="dcterms:W3CDTF">2022-07-28T13:19:46Z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E9EC37E7C0784159A1360EEC43FB7996</vt:lpwstr>
  </property>
</Properties>
</file>